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2" w:rsidRPr="00E445A2" w:rsidRDefault="00D901F8" w:rsidP="00E445A2">
      <w:pPr>
        <w:pStyle w:val="ConsPlusTitle0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ПРАВИТЕЛЬСТВО УЛЬЯНОВСКОЙ ОБЛАСТИ</w:t>
      </w:r>
    </w:p>
    <w:p w:rsidR="00F73032" w:rsidRPr="00E445A2" w:rsidRDefault="00F73032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от 19 августа 2015 г.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414-П</w:t>
      </w:r>
    </w:p>
    <w:p w:rsidR="00F73032" w:rsidRPr="00E445A2" w:rsidRDefault="00F73032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О ПРАВИЛАХ ПРЕДОСТАВЛЕНИЯ ХОЗЯЙСТВУЮЩИМ СУБЪЕКТАМ,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ОСУЩЕСТВЛЯЮЩИМ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ПРОИЗВОДСТВО И (ИЛИ) ПЕРЕРАБОТКУ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СЕЛЬСКОХОЗЯЙСТВЕННОЙ ПРОДУКЦИИ НА ТЕРРИТОРИИ УЛЬЯНОВСКОЙ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ОБЛАСТИ, СУБСИДИЙ ИЗ ОБЛАСТНОГО БЮДЖЕТА УЛЬЯНОВСКОЙ ОБЛАСТИ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В ЦЕЛЯХ ВОЗМЕЩЕНИЯ ЧАСТИ ИХ ЗАТРАТ, СВЯЗАННЫХ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С ПРИОБРЕТЕНИЕМ ТРАНСПОРТНЫХ СРЕДСТВ, МАШИН И ОБОРУДОВАНИЯ</w:t>
      </w:r>
    </w:p>
    <w:p w:rsidR="00F73032" w:rsidRPr="00E445A2" w:rsidRDefault="00F73032">
      <w:pPr>
        <w:pStyle w:val="ConsPlusNormal0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73032" w:rsidRPr="00E445A2" w:rsidTr="00E44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11.11.2015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568-П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12.09.2016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438-П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17.02.2017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78-П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22.11.2017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575-П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30.01.2018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53-П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30.05.2018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238-П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24.08.2018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389-П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06.05.2019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189-П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16.09.2019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465-П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03.04.2020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152-П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02.06.2021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217-П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10.08.2021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365-П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09.03.2022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111-П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21.07.2022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418-П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Normal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соответствии со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статьей 78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Федерации и государственной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программой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области от 14.11.2019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области",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Правительство Ульяновской области постановляет: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24.08.2018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389-П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, от 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6.05.2019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189-П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03.04.2020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152-П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22"/>
      <w:bookmarkEnd w:id="0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1. Утвердить прилагаемые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Правила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предоставления хозяйствующим субъектам, осуществляющим производство и (или) переработку сельскохозяйственной продук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(в ред. постановлений Правительства Ульяновской области от 3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0.01.2018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53-П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24.08.2018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389-П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06.05.2019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189-П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03.04.2020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152-П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2. Финансовое обеспечение расходных обязательств, связанных с реализацией настоящего постановления, осуществляется за счет средств областного бюд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жета Ульяновской области, предусмотренных для Министерства агропромышленного комплекса и развития сельских территорий Ульяновской области на цели, указанные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1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настоящего постановления.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24.08.2018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389-П)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3. Признать утратившими силу: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12.01.2011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3-П "О Порядке предоставления сред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2008 - 2013 годы и направленных на техническую и технологическую модернизацию сельского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хозяйства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";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06.09.2011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429-П "О внесении изменений в постановление Правительства Ульяновской обла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сти от 12.01.2011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3-П";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26.12.2011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644-П "О внесении изменений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 некоторые нормативные правовые акты Правительства Ульяновской области";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сти от 25.04.2012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193-П "О внесении изменений в некоторые нормативные правовые акты Правительства Ульяновской области";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постановления Правительства Ульяновской области от 20.12.2012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610-П "О внесении изменений в отдельные нормативные правовые акты Правительства Ульяновской области".</w:t>
      </w:r>
    </w:p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Губернатор - Председатель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Правительства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Ульяновской об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ласти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С.И.МОРОЗОВ</w:t>
      </w:r>
    </w:p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Normal0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Утверждены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постановлением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Правительства Ульяновской области</w:t>
      </w:r>
    </w:p>
    <w:p w:rsidR="00F73032" w:rsidRPr="00E445A2" w:rsidRDefault="00D901F8">
      <w:pPr>
        <w:pStyle w:val="ConsPlusNormal0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от 19 августа 2015 г.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414-П</w:t>
      </w:r>
    </w:p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47"/>
      <w:bookmarkEnd w:id="1"/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ПРАВИЛА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ПРЕДОСТАВЛЕНИЯ ХОЗЯЙСТВУЮЩИМ СУБЪЕКТАМ, ОСУЩЕСТВЛЯЮЩИМ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ПРОИЗВОДСТВО И (ИЛИ) ПЕРЕРАБОТКУ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СЕЛЬСКОХОЗЯЙСТВЕННОЙ</w:t>
      </w:r>
      <w:proofErr w:type="gramEnd"/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ПРОДУКЦИИ НА ТЕРРИТОРИИ 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ЛЬЯНОВСКОЙ ОБЛАСТИ, СУБСИДИЙ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ИЗ ОБЛАСТНОГО БЮДЖЕТА УЛЬЯНОВСКОЙ ОБЛАСТИ В ЦЕЛЯХ ВОЗМЕЩЕНИЯ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ЧАСТИ ИХ ЗАТРАТ, СВЯЗАННЫХ С ПРИОБРЕТЕНИЕМ</w:t>
      </w:r>
    </w:p>
    <w:p w:rsidR="00F73032" w:rsidRPr="00E445A2" w:rsidRDefault="00D901F8">
      <w:pPr>
        <w:pStyle w:val="ConsPlusTitle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ТРАНСПОРТНЫХ СРЕДСТВ, МАШИН И ОБОРУДОВАНИЯ</w:t>
      </w:r>
    </w:p>
    <w:p w:rsidR="00F73032" w:rsidRPr="00E445A2" w:rsidRDefault="00F73032">
      <w:pPr>
        <w:pStyle w:val="ConsPlusNormal0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73032" w:rsidRPr="00E445A2" w:rsidTr="00E44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02.06.2021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217-П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10.08.2021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365-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09.03.2022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111-П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F73032" w:rsidRPr="00E445A2" w:rsidRDefault="00D901F8">
            <w:pPr>
              <w:pStyle w:val="ConsPlusNormal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21.07.2022 </w:t>
            </w:r>
            <w:r w:rsid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418-П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Pr="00E445A2" w:rsidRDefault="00D901F8">
      <w:pPr>
        <w:pStyle w:val="ConsPlusNormal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1. Настоящие Правила устанавливают порядок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возмещения части их затрат, связанных с приобретением транспортных средств, машин и оборудования (далее - субсидии).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2. В настоящих Правилах применяются следующие понятия: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1) хозяйствующие субъекты - юридические лица, индивидуальные предприниматели, в том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числе главы крестьянских (фермерских) хозяйств, осуществляющие производство и (или) переработку сельскохозяйственной продукции на территории Ульяновской области;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2) транспортные средства: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63"/>
      <w:bookmarkEnd w:id="2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а) новые и ранее не эксплуатировавшиеся автомобили повышенной проход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имости, четырехколесные, 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полноприводные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(с двумя ведущими мостами), оборудованные двигателем внутреннего сгорания рабочим объемом от двух до трех литров (включительно), механической пятиступенчатой коробкой перемены передач или автоматической 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шестиступенча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той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коробкой перемены передач, агрегатом для распределения крутящего момента от двигателя на приводные механизмы (раздаточной коробкой), произведенные на территории Российской Федерации не ранее 1 января года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предшествующего году, в котором хозяйствующий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субъект обратился в Министерство агропромышленного комплекса и развития сельских территорий Ульяновской области (далее - Министерство) за получением субсидии, стоимость которых не превышает 1400,0 тыс. рублей (требование о сроке производства таких транспор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тных средств не применяется в случае повторного обращения хозяйствующих субъектов в Министерство за получением субсидии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22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Правил);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65"/>
      <w:bookmarkEnd w:id="3"/>
      <w:r w:rsidRPr="00E445A2">
        <w:rPr>
          <w:rFonts w:ascii="PT Astra Serif" w:hAnsi="PT Astra Serif"/>
          <w:color w:val="000000" w:themeColor="text1"/>
          <w:sz w:val="24"/>
          <w:szCs w:val="24"/>
        </w:rPr>
        <w:t>б) новые и ранее не эксплуатировавшиеся грузовые 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втомобили, произведенные на территории Российской Федерации и классифицируемые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группировками 29.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10.41.122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29.10.41.123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Общероссийского классификатора продукции по видам экономической деятельности ОК 034-2014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(КПЕС 2008);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3) дилер - юридическое лицо или индивидуальный предприниматель, осуществляющий от своего имени в соответствии с договором, заключенным с изготовителем транспортных средств, оптовую и (или) розничную торговлю транспортными средствами и (или) передачу их по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договорам финансовой аренды (лизинга);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4) изготовитель - юридическое лицо или индивидуальный предприниматель, осуществляющий вид экономической деятельности, классифицируемый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группировкой 29.10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Р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>ед. 2);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68"/>
      <w:bookmarkEnd w:id="4"/>
      <w:r w:rsidRPr="00E445A2">
        <w:rPr>
          <w:rFonts w:ascii="PT Astra Serif" w:hAnsi="PT Astra Serif"/>
          <w:color w:val="000000" w:themeColor="text1"/>
          <w:sz w:val="24"/>
          <w:szCs w:val="24"/>
        </w:rPr>
        <w:t>5) машины и оборудование - новые и ранее не эксплуатировавшиеся маши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ны и оборудование, применяемые в сельскохозяйственном производстве, перечень которых утверждается правовым актом Министерства;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6) среднестатистический размер заработной платы - размер среднемесячной номинальной начисленной заработной платы работников хозяй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ствующих субъектов, осуществляющих деятельность на территории Ульяновской области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группировкой 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1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Р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>ед. 2).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4.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Сведения о субсидиях размещаются на едином портале бюджетной системы Российской Федерации в 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период).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P72"/>
      <w:bookmarkEnd w:id="5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5. Субсидии предоставляются хозяйствующим субъектам в целях возмещения части их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затрат (без учет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 сумм налога на добавленную стоимость), связанных: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" w:name="P73"/>
      <w:bookmarkEnd w:id="6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1) с приобретением на территории Ульяновской области у дилеров или изготовителей на основании договоров купли-продажи (договоров финансовой аренды (лизинга) транспортных средств,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"а" подпункта 2 пункта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" w:name="P74"/>
      <w:bookmarkEnd w:id="7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2) с приобретением у дилеров или изготовителей на основании договоров финансовой аренды (лизинга) транспортных средств,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"б" подпункта 2 пункта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" w:name="P75"/>
      <w:bookmarkEnd w:id="8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3) с внесением лизинговых платежей по заключенным договорам финансовой аренды (лизинга), предметом которых являются машины и (или) оборудование, указанные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5 пункта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6. Хозя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йствующие субъекты имеют право на получение субсидий в случае осуществления одного и более видов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" w:name="P77"/>
      <w:bookmarkEnd w:id="9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7. Для хозяйствующих субъектов, использующих на дату осуществления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таки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х затрат осуществляется с учетом суммы налога на добавленную стоимость.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" w:name="P78"/>
      <w:bookmarkEnd w:id="10"/>
      <w:r w:rsidRPr="00E445A2">
        <w:rPr>
          <w:rFonts w:ascii="PT Astra Serif" w:hAnsi="PT Astra Serif"/>
          <w:color w:val="000000" w:themeColor="text1"/>
          <w:sz w:val="24"/>
          <w:szCs w:val="24"/>
        </w:rPr>
        <w:t>8. Требования, которым должен соответствовать хозяйствующий субъект: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1) по состоянию на дату представления в Министерство документов (копий документов), необходимых для получения субси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дии: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1" w:name="P80"/>
      <w:bookmarkEnd w:id="11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а) 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предоставленных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хозяйст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вующего субъекта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"а"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б) в отношении хозяйствующего субъекта не должна быть введена процедура, применяемая в деле о банкротстве, а его деятел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ьность не должна быть приостановлена в порядке, предусмотренном законодательством Российской Федерации, при этом хозяйствующий субъект - юридическое лицо не должен находиться в процессе реорганизации (за исключением реорганизации в форме присоединения к за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явителю - юридическому лицу другого юридического лица) или ликвидации, а хозяйствующий субъект - индивидуальный предприниматель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не должен прекратить деятельность в качестве индивидуального предпринимателя;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в) хозяйствующий субъект - юридическое лицо не дол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операций 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офшорные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зоны) в 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тношении таких юридических лиц, в совокупности превышает 50 процентов;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г)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) в реестре дисквалифицированных лиц должны отсутствовать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субъекта, являющегося юридическим лицом, либо об индивидуальном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предпринимателе, если хозяйствующий субъект является индивидуальным предпринимателем;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2" w:name="P87"/>
      <w:bookmarkEnd w:id="12"/>
      <w:r w:rsidRPr="00E445A2">
        <w:rPr>
          <w:rFonts w:ascii="PT Astra Serif" w:hAnsi="PT Astra Serif"/>
          <w:color w:val="000000" w:themeColor="text1"/>
          <w:sz w:val="24"/>
          <w:szCs w:val="24"/>
        </w:rPr>
        <w:t>е)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утым такому наказанию, не истек;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ж) хозяйствующий субъект должен осуществлять производство и (или) переработку сельскохозяйственной продукции на территории Ульяновской области;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з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>) хозяйствующий субъект должен представить в Министерство отчетность о финансо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рством;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и) хозяйствующий субъект должен обеспечить государственную регистрацию на территории Ульяновской области приобретенных на основании договоров купли-продажи транспортных средств;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к) хозяйствующий субъект должен подтвердить государственную регистраци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ю транспортных средств (машин, оборудования), приобретенных на основании договоров финансовой аренды (лизинга), а также обеспечить временную регистрацию машин (оборудования) на территории Ульяновской области, если государственная регистрация машин (оборудо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вания) в соответствии с законодательством Российской Федерации является обязательной;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л) хозяйствующий субъект должен принять приобретенные им транспортные средства (машины, оборудование) к бухгалтерскому учету;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м) в случае если хозяйствующий субъект претендует на получение субсидии, предоставляемой в целях возмещения части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1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он должен также подтвердить объем своих затрат, связанных с прио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бретением транспортных средств (в случае заключения договоров купли-продажи), и (или) оплатой первоначального лизингового платежа лизингодателю (в случае заключения договоров финансовой аренды (лизинга), предметом которых являются транспортные средства);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н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) в случае если хозяйствующий субъект претендует на получение субсидии, предоставляемой в целях возмещения части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2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он должен также подтвердить объем своих затрат, связанных с оплатой лизинговых платежей в соответствии с графиком погаше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ния платежей, предусмотренным договором финансовой аренды (лизинга), предметом которого являются транспортные средства.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При этом такие договоры должны быть заключены не ранее года, предшествующего году, в котором хозяйствующий субъект обратился в Министерс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тво за получением субсидии;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о) в случае если хозяйствующий субъект претендует на получение субсидии, предоставляемой в целях возмещения части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3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авил, он должен также подтвердить объем своих затрат, связанных с оплатой лизинговых платежей в соответствии с графиком погашения платежей, предусмотренным договором финансовой аренды (лизинга), предметом которого являются машины и (или) оборудование.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этом такие договоры должны быть заключены не ранее 1 января 2015 года, а внесение лизинговых платежей в соответствии с графиком погашения платежей должно быть осуществлено не ранее 1 января 2018 года;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2) по состоянию на дату, которая предшествует дате пред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ставления в Министерство документов (копий документов), необходимых для получения субсидии, не более чем на 30 календарных дней, хозяйствующий субъект должен соответствовать требованию об отсутствии у него неисполненной обязанности по уплате налогов, сборо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3" w:name="P98"/>
      <w:bookmarkEnd w:id="13"/>
      <w:r w:rsidRPr="00E445A2">
        <w:rPr>
          <w:rFonts w:ascii="PT Astra Serif" w:hAnsi="PT Astra Serif"/>
          <w:color w:val="000000" w:themeColor="text1"/>
          <w:sz w:val="24"/>
          <w:szCs w:val="24"/>
        </w:rPr>
        <w:t>9. Субсидии предоставляются: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1) в целях возмещения части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1 пункт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а) в объеме 40 процентов стоимости транспортного средства (без учета сумм налога на добавленную стоимость или с учетом сумм налога на добавленную стоимость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абзацем первым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7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Правил) (если транспортное средство приобретено на основании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договора купли-продажи);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б) в объеме первоначального лизингового платежа (без учета сумм налога на добавленную стоимость или с учетом сумм налога на добавленную стоимость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абзацем первым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7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Правил), но не более 240 тыс. рублей (если транспортное средство 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риобретено на основании договора финансовой аренды (лизинга);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2) в целях возмещения части затрат,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подпунктах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3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- в объеме 50 процентов лизинговых платежей, подлежащих выплате лизингодателю (без учета сумм налога на добавленную стоимость или с учетом сумм налога на добавленную стоимос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ть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абзацем первым пункта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7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Правил).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4" w:name="P103"/>
      <w:bookmarkEnd w:id="14"/>
      <w:r w:rsidRPr="00E445A2">
        <w:rPr>
          <w:rFonts w:ascii="PT Astra Serif" w:hAnsi="PT Astra Serif"/>
          <w:color w:val="000000" w:themeColor="text1"/>
          <w:sz w:val="24"/>
          <w:szCs w:val="24"/>
        </w:rPr>
        <w:t>10. Для получения субсидии хозяйствующий субъект (далее - заявитель) представляет в Министерство: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1) заявление о получении субсидии, составленное по форме, утвержденной правовым актом Министерства;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2) расчет объема субсидии, 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ричитающейся заявителю, составленный по форме, утвержденной правовым актом Министерства;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3) копии договоров купли-продажи транспортных средств, копии счетов-фактур либо товарных накладных, копии платежных поручений, подтверждающих оплату приобретенных тран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спортных сре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дств в п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>олном объеме, в том числе их предварительную оплату (представляются в случае приобретения транспортного средства на основании договора купли-продажи);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4) копии договоров финансовой аренды (лизинга), предметом которых являются транспортн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ые средства, и (или) машины, и (или) оборудование, копии актов передачи, подписанные продавцом, лизингодателем и заявителем (лизингополучателем), копии платежных поручений, подтверждающих оплату лизинговых платежей в полном объеме (представляются в случае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приобретения транспортных средств, и (или) машин, и (или) оборудования на основании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договора финансовой аренды (лизинга);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5) справку о производстве и (или) переработке сельскохозяйственной продукции заявителем на территории Ульяновской области в предшеству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ющем финансовом году, составленную по форме, утвержденной правовым актом Министерства;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6) копию паспорта транспортного средства или выписку из электронного паспорта транспортного средства, а также копию свидетельства о регистрации транспортного средства (п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редставляются в случае приобретения транспортного средства);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7) копию паспорта самоходной машины или выписку из электронного паспорта самоходной машины, а также копию свидетельства о регистрации самоходной машины, в случае если государственная регистрация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самоходной машины в соответствии с законодательством Российской Федерации является обязательной (представляются в случае приобретения самоходной машины);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8) копии инвентарных карточек учета объектов основных средств либо копии иных первичных учетных докуме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нтов или выписки из них, применяемых заявителем для ведения бухгалтерского учета, подтверждающих наличие (отсутствие) у заявителя приобретенных им транспортных средств (машин, оборудования) и содержащих сведения о дате (годе) выпуска данных транспортных ср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едств (машин, оборудования);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8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9)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9.1)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9.1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111-П;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10) справку о соответствии заявителя требованиям, установленным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подпунктами "а"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"е" подпункта 1 пункта 8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11) справку об исполнении з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ления в Министерство;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затрат, направленного заявителем в нал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11. Копии документов,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10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12. Министерство запрашивает у изготовителей транспортных сре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дств св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едения, подтверждающие технические характеристики транспортных средств, предусмотренные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подпунктом "а" подпункта 2 пункта 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отношении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производимых ими транспортных средств.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5" w:name="P121"/>
      <w:bookmarkEnd w:id="15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13. Министерство принимает документы (копии документов), указанные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10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Правил (далее - документы), не позднее 10 декабря текущего финансового года.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14.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15. Министерство в течение 15 рабочих дней со дня регистрации заявления о получении субсиди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1) проводит проверку соответствия заявителя требованиям, установленным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8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 соответствия расчета объема субсидии положениям, преду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смотренным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9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>, а также использования иных форм проверки, не прот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иворечащих законодательству Российской Федерации;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2) передает документы для проверки соответствия заявителя требованиям, установленным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2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365-П)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3) принимает на основании протокола заседания комиссии решение о предоставлении или об отказе в 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равляется заявителю в форме, обеспечивающей возможность подтверждения факта направления уведомления.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излагаются обстоятельства, послужившие основанием для ег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 принятия;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3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365-П)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4) вносит в журнал регистрации зап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ись о предоставлении субсидии либо об отказе в предоставлении субсидии;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4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365-П)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5) в случае принятия решения о предоставлении заявителю субсид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а) сведения об объеме субсидии;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6" w:name="P133"/>
      <w:bookmarkEnd w:id="16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б) согласие заявителя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условий и порядка, установленных при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предоставлении субсидии, в том числе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статьями 268.1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269.2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ерации;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7" w:name="P135"/>
      <w:bookmarkEnd w:id="17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в) запрет отчуждения транспортных средств (машин, оборудования) любым из способов, предусмотренных законодательством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Российской Федерации, в течение трех лет со дня получения субсидии;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8" w:name="P136"/>
      <w:bookmarkEnd w:id="18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г) обязанность получателя субсидии не позднее 1 февраля года, следующего за годом, в котором ему предоставлена субсидия, представить в Министерство заверенные получателем субсидии копии ин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вентарных карточек учета объектов основных средств либо копии иных первичных учетных документов или выписки из них, применяемых получателем субсидии для ведения бухгалтерского учета, подтверждающих наличие (отсутствие) транспортных средств (машин, оборудов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ания), затраты в связи с приобретением которых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возмещены за счет субсидии;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. "г"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>) значение результата предоставления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16.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торжении в случае 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17.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 случае представления получателем субсидии в Министерство заявления об отзыве заявления о получении субсидии до заключения соглашения о пред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ии.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Данное решение отражается в уведомлении, которое направляется получателю субсидии в форме, обеспечивающей возможность подтверждения факта направления уведомления, запись о принятом решении вносится в журнал регистрации.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18.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Основаниями для принятия Министерством решения об отказе в предоставлении субсидии являются несоответ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ствие заявителя требованиям, установленным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8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несоответствие расчета объема субсидии положениям, предусмотренным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9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требований, наличие в документах неполных и (или) недостоверных сведений либо представ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ление таких документов по истечении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срока, установленного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нктом 13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заявления о получении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19.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регистрации в журнале регистрации).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20. Заявитель, в отношении которого Министерством при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21. Заявитель после устранения обстоятельств, послуживших основанием для принятия в отношении его решения об отказе в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пунктом 13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или отзыва заявления о получении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9" w:name="P146"/>
      <w:bookmarkEnd w:id="19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22.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Заявитель, в отношении которого 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 (или) поступления средств, образовавшихся в р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езультате возврата субсидий получателями субсидий, в соответствии с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подпунктом 1 пункта 30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Министе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(п. 22 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23. Субсидия перечисляется единовременно не позднее десятого рабочего дня, следующе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24.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Результатом предоставления субсидий является увеличение размера средней заработной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платы работников получателя субсидии в текущем финансовом году по сравнению с размером их средней заработной платы в отчетном финансовом году либо по сравнению со среднестатистическим размером заработной платы, в случае если размер средней заработной платы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работников получателя субсидии в отчетном финансовом году меньше среднестатистического размера заработной платы.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25. Получатель субсидии не позднее 1 февраля года, следующего за годом, в котором ему предоставлена субсидия, представляет в Министерство отче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 о достижении значения результата предоставления субсидии, составленный по форме, определенной типовой формой соглашения о предоставлении субсидии из областного бюджета Ульяновской области соответствующего вида, установленной Министерством финансов Ульяно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вской области.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Министерство устанавливает в соглашении о предоставлении 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убсидии сроки и формы представления получателем субсидии дополнительной отчетности о достижении значения результата предоставления субсидии.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26. Министерство обеспечивает соблюдение получателями субсидий условий и порядка,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установленных при предоставлении субсидий. Министерство и органы государственного финансового контроля Уль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яновской области осуществляют проверки, указанные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"б" подпункта 5 пункта 15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10.08.2021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365-П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F73032" w:rsidRPr="00E445A2" w:rsidRDefault="00F73032">
      <w:pPr>
        <w:pStyle w:val="ConsPlusNormal0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73032" w:rsidRPr="00E445A2" w:rsidTr="00E44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3032" w:rsidRPr="00E445A2" w:rsidRDefault="00D901F8">
            <w:pPr>
              <w:pStyle w:val="ConsPlusNormal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Абз</w:t>
            </w:r>
            <w:proofErr w:type="spellEnd"/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второй п. 26 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вступает</w:t>
            </w:r>
            <w:r w:rsidRPr="00E445A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32" w:rsidRPr="00E445A2" w:rsidRDefault="00F73032">
            <w:pPr>
              <w:pStyle w:val="ConsPlusNormal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73032" w:rsidRPr="00E445A2" w:rsidRDefault="00D901F8">
      <w:pPr>
        <w:pStyle w:val="ConsPlusNormal0"/>
        <w:spacing w:before="26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(абзац введен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постановлением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0" w:name="P159"/>
      <w:bookmarkEnd w:id="20"/>
      <w:r w:rsidRPr="00E445A2">
        <w:rPr>
          <w:rFonts w:ascii="PT Astra Serif" w:hAnsi="PT Astra Serif"/>
          <w:color w:val="000000" w:themeColor="text1"/>
          <w:sz w:val="24"/>
          <w:szCs w:val="24"/>
        </w:rPr>
        <w:t>27. В случае нарушения получателем субсидии условий, установленных при предоставлении субсидии, установления недостоверных сведений в представленных получателем субси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дии документах, несоблюдения получателем субсидии условия соглашения о предоставлении субсидии, предусмотренного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подпунктом "в" подпункта 5 пункта 15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выявленных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контроля Ульяновской области, субсидия подлежит возврату в областной бюджет Ульяновской области в полном объеме.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случае непредставления или несвоевременного представления получателем субсидии документов (копий документов),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подпункте "г" подпункта 5 пункта 15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 (или) отчета о достижении значения результата предоставления субсидии, и (или) дополнительной отчетности о достижении значения результата предоставления субсидии субсидия подлежит воз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врату в областной бюджет Ульяновской области в полном объеме.</w:t>
      </w:r>
      <w:proofErr w:type="gramEnd"/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В случае 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получателем субсидии результата предоставления субсидии субсидия подлежит возврату в полном объеме.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111-П)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28. Возврат субсидии не осуществляется в случае </w:t>
      </w:r>
      <w:proofErr w:type="spellStart"/>
      <w:r w:rsidRPr="00E445A2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силы, препятствующих исполнению соответствующих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обязательств: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1" w:name="P165"/>
      <w:bookmarkEnd w:id="21"/>
      <w:r w:rsidRPr="00E445A2">
        <w:rPr>
          <w:rFonts w:ascii="PT Astra Serif" w:hAnsi="PT Astra Serif"/>
          <w:color w:val="000000" w:themeColor="text1"/>
          <w:sz w:val="24"/>
          <w:szCs w:val="24"/>
        </w:rPr>
        <w:t>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сти соответственно, подтвержденное соответствующим правовым актом;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исполнит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ельного органа государственной власти Ульяновской области, уполномоченного в сфере ветеринарии;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lastRenderedPageBreak/>
        <w:t>госу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дарственных услуг в области гидрометеорологии и смежных с ней областях;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2" w:name="P168"/>
      <w:bookmarkEnd w:id="22"/>
      <w:r w:rsidRPr="00E445A2">
        <w:rPr>
          <w:rFonts w:ascii="PT Astra Serif" w:hAnsi="PT Astra Serif"/>
          <w:color w:val="000000" w:themeColor="text1"/>
          <w:sz w:val="24"/>
          <w:szCs w:val="24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 исполнение обязательств, предусмотренных соглашением о предоставлении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дии соответствующий документ, указанный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абзацах втором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пятом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F73032" w:rsidRPr="00E445A2" w:rsidRDefault="00D901F8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постановления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</w:t>
      </w:r>
      <w:r w:rsidR="00E445A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418-П)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29.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Министерство обеспечивает возврат субсидии в областной бюджет Ульяновской облас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ти путем направления получателю субсидии в срок, не превышающий 30 календарных дней со дня установления хотя бы одного из указанных в 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пункте 27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 обстоятельств, являющихся основаниями для возврата субсидии,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требования о возврате субсидии в течение 30 календарных дней со дня получения указанного требования.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30. Возврат субсидии осуществляется получателем субсидии в следующем порядке: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3" w:name="P173"/>
      <w:bookmarkEnd w:id="23"/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1) возврат субсидии в период до 25 декабря текущего финансового года включит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нистерства, реквизиты которого сообщаются Министерством в требовании о возврате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>31.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законодательством Российской Федерации меры по принудительному взысканию субсидии.</w:t>
      </w:r>
    </w:p>
    <w:p w:rsidR="00F73032" w:rsidRPr="00E445A2" w:rsidRDefault="00D901F8">
      <w:pPr>
        <w:pStyle w:val="ConsPlusNormal0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32. </w:t>
      </w:r>
      <w:proofErr w:type="gramStart"/>
      <w:r w:rsidRPr="00E445A2">
        <w:rPr>
          <w:rFonts w:ascii="PT Astra Serif" w:hAnsi="PT Astra Serif"/>
          <w:color w:val="000000" w:themeColor="text1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ответствии с очередностью представления заявлений, определяемой по дате и времени</w:t>
      </w:r>
      <w:proofErr w:type="gramEnd"/>
      <w:r w:rsidRPr="00E445A2">
        <w:rPr>
          <w:rFonts w:ascii="PT Astra Serif" w:hAnsi="PT Astra Serif"/>
          <w:color w:val="000000" w:themeColor="text1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</w:t>
      </w:r>
      <w:r w:rsidRPr="00E445A2">
        <w:rPr>
          <w:rFonts w:ascii="PT Astra Serif" w:hAnsi="PT Astra Serif"/>
          <w:color w:val="000000" w:themeColor="text1"/>
          <w:sz w:val="24"/>
          <w:szCs w:val="24"/>
        </w:rPr>
        <w:t>нном законодательством порядке.</w:t>
      </w:r>
    </w:p>
    <w:p w:rsidR="00F73032" w:rsidRPr="00E445A2" w:rsidRDefault="00F73032">
      <w:pPr>
        <w:pStyle w:val="ConsPlusNormal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73032" w:rsidRDefault="00F7303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3032" w:rsidSect="00EA5C91">
      <w:pgSz w:w="11906" w:h="16838"/>
      <w:pgMar w:top="1134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F8" w:rsidRDefault="00D901F8" w:rsidP="00F73032">
      <w:r>
        <w:separator/>
      </w:r>
    </w:p>
  </w:endnote>
  <w:endnote w:type="continuationSeparator" w:id="0">
    <w:p w:rsidR="00D901F8" w:rsidRDefault="00D901F8" w:rsidP="00F7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F8" w:rsidRDefault="00D901F8" w:rsidP="00F73032">
      <w:r>
        <w:separator/>
      </w:r>
    </w:p>
  </w:footnote>
  <w:footnote w:type="continuationSeparator" w:id="0">
    <w:p w:rsidR="00D901F8" w:rsidRDefault="00D901F8" w:rsidP="00F7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032"/>
    <w:rsid w:val="00D901F8"/>
    <w:rsid w:val="00E445A2"/>
    <w:rsid w:val="00EA5C91"/>
    <w:rsid w:val="00F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7303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730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730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7303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730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730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730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7303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44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4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5A2"/>
  </w:style>
  <w:style w:type="paragraph" w:styleId="a7">
    <w:name w:val="footer"/>
    <w:basedOn w:val="a"/>
    <w:link w:val="a8"/>
    <w:uiPriority w:val="99"/>
    <w:semiHidden/>
    <w:unhideWhenUsed/>
    <w:rsid w:val="00E44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5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5637</Words>
  <Characters>32131</Characters>
  <Application>Microsoft Office Word</Application>
  <DocSecurity>0</DocSecurity>
  <Lines>267</Lines>
  <Paragraphs>75</Paragraphs>
  <ScaleCrop>false</ScaleCrop>
  <Company>КонсультантПлюс Версия 4022.00.21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19.08.2015 N 414-П
(ред. от 21.07.2022)
"О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оборудования"</dc:title>
  <cp:lastModifiedBy>Пользователь</cp:lastModifiedBy>
  <cp:revision>3</cp:revision>
  <dcterms:created xsi:type="dcterms:W3CDTF">2022-08-04T05:16:00Z</dcterms:created>
  <dcterms:modified xsi:type="dcterms:W3CDTF">2022-08-04T05:19:00Z</dcterms:modified>
</cp:coreProperties>
</file>